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3BE6E0E0"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0AB0D1E" w:rsidR="005D768D" w:rsidRPr="007C3FDF" w:rsidRDefault="00AF6706" w:rsidP="005D768D">
      <w:pPr>
        <w:jc w:val="both"/>
        <w:rPr>
          <w:rFonts w:ascii="Century Gothic" w:hAnsi="Century Gothic"/>
          <w:sz w:val="20"/>
          <w:szCs w:val="20"/>
        </w:rPr>
      </w:pPr>
      <w:r w:rsidRPr="00AF6706">
        <w:rPr>
          <w:rFonts w:ascii="Century Gothic" w:hAnsi="Century Gothic"/>
          <w:sz w:val="20"/>
          <w:szCs w:val="20"/>
        </w:rPr>
        <w:t xml:space="preserve">Podstawowe informacje dotyczące Umowy Ubezpieczenia Generalnego wszystkich ryzyk budowy/ montażu Operatora Gazociągów Przesyłowych GAZ-SYSTEM S.A. wskazane są w Tabeli nr 1 poniżej: </w:t>
      </w:r>
      <w:r w:rsidR="005D768D" w:rsidRPr="007C3FDF">
        <w:rPr>
          <w:rFonts w:ascii="Century Gothic" w:hAnsi="Century Gothic"/>
          <w:sz w:val="20"/>
          <w:szCs w:val="20"/>
        </w:rPr>
        <w:t xml:space="preserve"> </w:t>
      </w:r>
    </w:p>
    <w:p w14:paraId="1EEBB276" w14:textId="77777777" w:rsidR="006D609E" w:rsidRPr="007C3FDF" w:rsidRDefault="006D609E" w:rsidP="006D609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3B2D0A" w:rsidRPr="007C3FDF" w14:paraId="17879291" w14:textId="77777777" w:rsidTr="00130D43">
        <w:tc>
          <w:tcPr>
            <w:tcW w:w="9351" w:type="dxa"/>
            <w:gridSpan w:val="2"/>
            <w:shd w:val="clear" w:color="auto" w:fill="FF5D23"/>
          </w:tcPr>
          <w:p w14:paraId="657FDB7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Podstawowe informacje dotyczące Umowy Ubezpieczenia Generalnego </w:t>
            </w:r>
          </w:p>
          <w:p w14:paraId="7513E6B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wszystkich ryzyk budowy/ montażu Operatora Gazociągów Przesyłowych GAZ-SYSTEM S.A.</w:t>
            </w:r>
          </w:p>
        </w:tc>
      </w:tr>
      <w:tr w:rsidR="003B2D0A" w:rsidRPr="007C3FDF" w14:paraId="0BB1B7CF" w14:textId="77777777" w:rsidTr="00130D43">
        <w:tc>
          <w:tcPr>
            <w:tcW w:w="3001" w:type="dxa"/>
          </w:tcPr>
          <w:p w14:paraId="470E7741"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1101C365" w14:textId="77777777" w:rsidR="003B2D0A" w:rsidRPr="007C3FDF" w:rsidRDefault="003B2D0A" w:rsidP="00130D43">
            <w:pPr>
              <w:jc w:val="both"/>
              <w:rPr>
                <w:rFonts w:ascii="Century Gothic" w:hAnsi="Century Gothic"/>
                <w:sz w:val="20"/>
                <w:szCs w:val="20"/>
              </w:rPr>
            </w:pPr>
            <w:r w:rsidRPr="00275E81">
              <w:rPr>
                <w:rFonts w:ascii="Century Gothic" w:hAnsi="Century Gothic"/>
                <w:sz w:val="20"/>
                <w:szCs w:val="20"/>
              </w:rPr>
              <w:t xml:space="preserve">Operator Gazociągów Przesyłowych </w:t>
            </w:r>
            <w:r w:rsidRPr="007C3FDF">
              <w:rPr>
                <w:rFonts w:ascii="Century Gothic" w:hAnsi="Century Gothic"/>
                <w:sz w:val="20"/>
                <w:szCs w:val="20"/>
              </w:rPr>
              <w:t>GAZ-SYSTEM S.A.</w:t>
            </w:r>
          </w:p>
        </w:tc>
      </w:tr>
      <w:tr w:rsidR="003B2D0A" w:rsidRPr="007C3FDF" w14:paraId="72F7F69A" w14:textId="77777777" w:rsidTr="00130D43">
        <w:tc>
          <w:tcPr>
            <w:tcW w:w="3001" w:type="dxa"/>
          </w:tcPr>
          <w:p w14:paraId="3BE549E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6651FF1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72B4B23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19267234"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3B2D0A" w:rsidRPr="007C3FDF" w14:paraId="22ABBBF7" w14:textId="77777777" w:rsidTr="00130D43">
        <w:tc>
          <w:tcPr>
            <w:tcW w:w="3001" w:type="dxa"/>
          </w:tcPr>
          <w:p w14:paraId="2DBC574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2D6BFBE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3B2D0A" w:rsidRPr="007C3FDF" w14:paraId="4D11B6C6" w14:textId="77777777" w:rsidTr="00130D43">
        <w:tc>
          <w:tcPr>
            <w:tcW w:w="3001" w:type="dxa"/>
          </w:tcPr>
          <w:p w14:paraId="3156AD8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654CC44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Po podpisaniu niniejszej Umowy</w:t>
            </w:r>
          </w:p>
        </w:tc>
      </w:tr>
      <w:tr w:rsidR="003B2D0A" w:rsidRPr="007C3FDF" w14:paraId="50CE5CE7" w14:textId="77777777" w:rsidTr="00130D43">
        <w:tc>
          <w:tcPr>
            <w:tcW w:w="3001" w:type="dxa"/>
          </w:tcPr>
          <w:p w14:paraId="3B9D9682"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7A3C52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3B2D0A" w:rsidRPr="007C3FDF" w14:paraId="54A40177" w14:textId="77777777" w:rsidTr="00130D43">
        <w:tc>
          <w:tcPr>
            <w:tcW w:w="3001" w:type="dxa"/>
          </w:tcPr>
          <w:p w14:paraId="17CEE29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76D65D3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ryzyk budowy/ montażu OGP Gaz-System S.A.</w:t>
            </w:r>
          </w:p>
          <w:p w14:paraId="18C2FBF2" w14:textId="77777777" w:rsidR="003B2D0A" w:rsidRPr="007C3FDF" w:rsidRDefault="003B2D0A" w:rsidP="00130D43">
            <w:pPr>
              <w:jc w:val="both"/>
              <w:rPr>
                <w:rFonts w:ascii="Century Gothic" w:hAnsi="Century Gothic"/>
                <w:sz w:val="20"/>
                <w:szCs w:val="20"/>
              </w:rPr>
            </w:pPr>
          </w:p>
          <w:p w14:paraId="0B483B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6D14B80C" w14:textId="77777777" w:rsidR="003B2D0A" w:rsidRPr="007C3FDF" w:rsidRDefault="003B2D0A" w:rsidP="00130D43">
            <w:pPr>
              <w:jc w:val="both"/>
              <w:rPr>
                <w:rFonts w:ascii="Century Gothic" w:hAnsi="Century Gothic"/>
                <w:sz w:val="20"/>
                <w:szCs w:val="20"/>
              </w:rPr>
            </w:pPr>
          </w:p>
          <w:p w14:paraId="4EE582F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55DF33FF" w14:textId="77777777" w:rsidR="003B2D0A" w:rsidRPr="007C3FDF" w:rsidRDefault="003B2D0A" w:rsidP="00130D43">
            <w:pPr>
              <w:jc w:val="both"/>
              <w:rPr>
                <w:rFonts w:ascii="Century Gothic" w:hAnsi="Century Gothic"/>
                <w:sz w:val="20"/>
                <w:szCs w:val="20"/>
              </w:rPr>
            </w:pPr>
          </w:p>
          <w:p w14:paraId="6EDAA2CA"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Maszyny budowlane – do limitu odpowiedzialności 5.000.000 PLN na jedno i wszystkie zdarzenia</w:t>
            </w:r>
            <w:r>
              <w:rPr>
                <w:rFonts w:ascii="Century Gothic" w:hAnsi="Century Gothic"/>
                <w:sz w:val="20"/>
                <w:szCs w:val="20"/>
              </w:rPr>
              <w:t>.</w:t>
            </w:r>
          </w:p>
        </w:tc>
      </w:tr>
      <w:tr w:rsidR="003B2D0A" w:rsidRPr="007C3FDF" w14:paraId="072181EA" w14:textId="77777777" w:rsidTr="00130D43">
        <w:tc>
          <w:tcPr>
            <w:tcW w:w="3001" w:type="dxa"/>
          </w:tcPr>
          <w:p w14:paraId="32D9033B"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4A5DAF7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Ubezpieczenie wszystkich ryzyk budowy/ montażu na bazie All Risks co oznacza, że Ubezpieczyciel odpowiada za Szkod</w:t>
            </w:r>
            <w:r>
              <w:rPr>
                <w:rFonts w:ascii="Century Gothic" w:hAnsi="Century Gothic"/>
                <w:sz w:val="20"/>
                <w:szCs w:val="20"/>
              </w:rPr>
              <w:t>ę</w:t>
            </w:r>
            <w:r w:rsidRPr="007C3FDF">
              <w:rPr>
                <w:rFonts w:ascii="Century Gothic" w:hAnsi="Century Gothic"/>
                <w:sz w:val="20"/>
                <w:szCs w:val="20"/>
              </w:rPr>
              <w:t xml:space="preserve"> w ubezpieczonym Mieniu powstał</w:t>
            </w:r>
            <w:r>
              <w:rPr>
                <w:rFonts w:ascii="Century Gothic" w:hAnsi="Century Gothic"/>
                <w:sz w:val="20"/>
                <w:szCs w:val="20"/>
              </w:rPr>
              <w:t>ą</w:t>
            </w:r>
            <w:r w:rsidRPr="007C3FDF">
              <w:rPr>
                <w:rFonts w:ascii="Century Gothic" w:hAnsi="Century Gothic"/>
                <w:sz w:val="20"/>
                <w:szCs w:val="20"/>
              </w:rPr>
              <w:t xml:space="preserve"> w okresie ubezpieczenia, jeżeli </w:t>
            </w:r>
            <w:r>
              <w:rPr>
                <w:rFonts w:ascii="Century Gothic" w:hAnsi="Century Gothic"/>
                <w:sz w:val="20"/>
                <w:szCs w:val="20"/>
              </w:rPr>
              <w:t>jej</w:t>
            </w:r>
            <w:r w:rsidRPr="007C3FDF">
              <w:rPr>
                <w:rFonts w:ascii="Century Gothic" w:hAnsi="Century Gothic"/>
                <w:sz w:val="20"/>
                <w:szCs w:val="20"/>
              </w:rPr>
              <w:t xml:space="preserve"> przyczyn</w:t>
            </w:r>
            <w:r>
              <w:rPr>
                <w:rFonts w:ascii="Century Gothic" w:hAnsi="Century Gothic"/>
                <w:sz w:val="20"/>
                <w:szCs w:val="20"/>
              </w:rPr>
              <w:t>ą jest</w:t>
            </w:r>
            <w:r w:rsidRPr="007C3FDF">
              <w:rPr>
                <w:rFonts w:ascii="Century Gothic" w:hAnsi="Century Gothic"/>
                <w:sz w:val="20"/>
                <w:szCs w:val="20"/>
              </w:rPr>
              <w:t xml:space="preserve"> jakiekolwiek Zdarzeni</w:t>
            </w:r>
            <w:r>
              <w:rPr>
                <w:rFonts w:ascii="Century Gothic" w:hAnsi="Century Gothic"/>
                <w:sz w:val="20"/>
                <w:szCs w:val="20"/>
              </w:rPr>
              <w:t>e</w:t>
            </w:r>
            <w:r w:rsidRPr="007C3FDF">
              <w:rPr>
                <w:rFonts w:ascii="Century Gothic" w:hAnsi="Century Gothic"/>
                <w:sz w:val="20"/>
                <w:szCs w:val="20"/>
              </w:rPr>
              <w:t>, któr</w:t>
            </w:r>
            <w:r>
              <w:rPr>
                <w:rFonts w:ascii="Century Gothic" w:hAnsi="Century Gothic"/>
                <w:sz w:val="20"/>
                <w:szCs w:val="20"/>
              </w:rPr>
              <w:t>e</w:t>
            </w:r>
            <w:r w:rsidRPr="007C3FDF">
              <w:rPr>
                <w:rFonts w:ascii="Century Gothic" w:hAnsi="Century Gothic"/>
                <w:sz w:val="20"/>
                <w:szCs w:val="20"/>
              </w:rPr>
              <w:t xml:space="preserve"> nie wyłączono w umowie ubezpieczenia, w czasie, gdy </w:t>
            </w:r>
            <w:r>
              <w:rPr>
                <w:rFonts w:ascii="Century Gothic" w:hAnsi="Century Gothic"/>
                <w:sz w:val="20"/>
                <w:szCs w:val="20"/>
              </w:rPr>
              <w:t xml:space="preserve">Mienie </w:t>
            </w:r>
            <w:r w:rsidRPr="007C3FDF">
              <w:rPr>
                <w:rFonts w:ascii="Century Gothic" w:hAnsi="Century Gothic"/>
                <w:sz w:val="20"/>
                <w:szCs w:val="20"/>
              </w:rPr>
              <w:t>znajduje się na Terenie budowy/ Miejscu realizacji</w:t>
            </w:r>
            <w:r>
              <w:rPr>
                <w:rFonts w:ascii="Century Gothic" w:hAnsi="Century Gothic"/>
                <w:sz w:val="20"/>
                <w:szCs w:val="20"/>
              </w:rPr>
              <w:t>,</w:t>
            </w:r>
            <w:r w:rsidRPr="007C3FDF">
              <w:rPr>
                <w:rFonts w:ascii="Century Gothic" w:hAnsi="Century Gothic"/>
                <w:sz w:val="20"/>
                <w:szCs w:val="20"/>
              </w:rPr>
              <w:t xml:space="preserve"> jest przewożone (z wyłączeniem transportu drogą powietrzną lub transportem morskim), tymczasowo składowane poza Terenem budowy/ Miejscem realizacji</w:t>
            </w:r>
            <w:r>
              <w:rPr>
                <w:rFonts w:ascii="Century Gothic" w:hAnsi="Century Gothic"/>
                <w:sz w:val="20"/>
                <w:szCs w:val="20"/>
              </w:rPr>
              <w:t>,</w:t>
            </w:r>
            <w:r w:rsidRPr="007C3FDF">
              <w:rPr>
                <w:rFonts w:ascii="Century Gothic" w:hAnsi="Century Gothic"/>
                <w:sz w:val="20"/>
                <w:szCs w:val="20"/>
              </w:rPr>
              <w:t xml:space="preserve"> w granicach Rzeczpospolitej Polskiej i </w:t>
            </w:r>
            <w:r>
              <w:rPr>
                <w:rFonts w:ascii="Century Gothic" w:hAnsi="Century Gothic"/>
                <w:sz w:val="20"/>
                <w:szCs w:val="20"/>
              </w:rPr>
              <w:t xml:space="preserve">pozostałych </w:t>
            </w:r>
            <w:r w:rsidRPr="007C3FDF">
              <w:rPr>
                <w:rFonts w:ascii="Century Gothic" w:hAnsi="Century Gothic"/>
                <w:sz w:val="20"/>
                <w:szCs w:val="20"/>
              </w:rPr>
              <w:t xml:space="preserve">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3B2D0A" w:rsidRPr="007C3FDF" w14:paraId="5E9D43C7" w14:textId="77777777" w:rsidTr="00130D43">
        <w:tc>
          <w:tcPr>
            <w:tcW w:w="3001" w:type="dxa"/>
          </w:tcPr>
          <w:p w14:paraId="2B81900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247F21D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3C4282B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t>
            </w:r>
            <w:r w:rsidRPr="007C3FDF">
              <w:rPr>
                <w:rFonts w:ascii="Century Gothic" w:hAnsi="Century Gothic"/>
                <w:sz w:val="20"/>
                <w:szCs w:val="20"/>
              </w:rPr>
              <w:t>dan</w:t>
            </w:r>
            <w:r>
              <w:rPr>
                <w:rFonts w:ascii="Century Gothic" w:hAnsi="Century Gothic"/>
                <w:sz w:val="20"/>
                <w:szCs w:val="20"/>
              </w:rPr>
              <w:t>e</w:t>
            </w:r>
            <w:r w:rsidRPr="007C3FDF">
              <w:rPr>
                <w:rFonts w:ascii="Century Gothic" w:hAnsi="Century Gothic"/>
                <w:sz w:val="20"/>
                <w:szCs w:val="20"/>
              </w:rPr>
              <w:t xml:space="preserve"> elektroniczn</w:t>
            </w:r>
            <w:r>
              <w:rPr>
                <w:rFonts w:ascii="Century Gothic" w:hAnsi="Century Gothic"/>
                <w:sz w:val="20"/>
                <w:szCs w:val="20"/>
              </w:rPr>
              <w:t>e</w:t>
            </w:r>
            <w:r w:rsidRPr="007C3FDF">
              <w:rPr>
                <w:rFonts w:ascii="Century Gothic" w:hAnsi="Century Gothic"/>
                <w:sz w:val="20"/>
                <w:szCs w:val="20"/>
              </w:rPr>
              <w:t>;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p>
        </w:tc>
      </w:tr>
      <w:tr w:rsidR="003B2D0A" w:rsidRPr="007C3FDF" w14:paraId="35234D7F" w14:textId="77777777" w:rsidTr="00130D43">
        <w:tc>
          <w:tcPr>
            <w:tcW w:w="3001" w:type="dxa"/>
          </w:tcPr>
          <w:p w14:paraId="523E03F5"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02A9F9A" w14:textId="77777777" w:rsidR="003B2D0A" w:rsidRPr="007C3FDF" w:rsidRDefault="003B2D0A" w:rsidP="00130D43">
            <w:pPr>
              <w:ind w:left="310"/>
              <w:contextualSpacing/>
              <w:rPr>
                <w:rFonts w:ascii="Century Gothic" w:hAnsi="Century Gothic"/>
                <w:sz w:val="20"/>
                <w:szCs w:val="20"/>
              </w:rPr>
            </w:pPr>
          </w:p>
        </w:tc>
        <w:tc>
          <w:tcPr>
            <w:tcW w:w="6350" w:type="dxa"/>
          </w:tcPr>
          <w:p w14:paraId="6E39A95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3B2D0A" w:rsidRPr="007C3FDF" w14:paraId="42053C9D" w14:textId="77777777" w:rsidTr="00130D43">
        <w:tc>
          <w:tcPr>
            <w:tcW w:w="3001" w:type="dxa"/>
          </w:tcPr>
          <w:p w14:paraId="2660CC9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95935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0741A22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w:t>
            </w:r>
            <w:r>
              <w:rPr>
                <w:rFonts w:ascii="Century Gothic" w:hAnsi="Century Gothic"/>
                <w:sz w:val="20"/>
                <w:szCs w:val="20"/>
              </w:rPr>
              <w:t>5</w:t>
            </w:r>
            <w:r w:rsidRPr="007C3FDF">
              <w:rPr>
                <w:rFonts w:ascii="Century Gothic" w:hAnsi="Century Gothic"/>
                <w:sz w:val="20"/>
                <w:szCs w:val="20"/>
              </w:rPr>
              <w:t>.000.000 PLN na jedno Zdarzenie – Rozruchy i strajki</w:t>
            </w:r>
          </w:p>
          <w:p w14:paraId="7BF6AB8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412023F4" w14:textId="77777777" w:rsidR="003B2D0A" w:rsidRPr="007C3FDF" w:rsidRDefault="003B2D0A" w:rsidP="00130D43">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sublimit </w:t>
            </w:r>
            <w:r>
              <w:rPr>
                <w:rFonts w:ascii="Century Gothic" w:hAnsi="Century Gothic"/>
                <w:sz w:val="20"/>
                <w:szCs w:val="20"/>
              </w:rPr>
              <w:t>3</w:t>
            </w:r>
            <w:r w:rsidRPr="007C3FDF">
              <w:rPr>
                <w:rFonts w:ascii="Century Gothic" w:hAnsi="Century Gothic"/>
                <w:sz w:val="20"/>
                <w:szCs w:val="20"/>
              </w:rPr>
              <w:t xml:space="preserve">0.000.000 PLN na jedno i </w:t>
            </w:r>
            <w:r>
              <w:rPr>
                <w:rFonts w:ascii="Century Gothic" w:hAnsi="Century Gothic"/>
                <w:sz w:val="20"/>
                <w:szCs w:val="20"/>
              </w:rPr>
              <w:t xml:space="preserve">60.000.000 PLN </w:t>
            </w:r>
            <w:r w:rsidRPr="007C3FDF">
              <w:rPr>
                <w:rFonts w:ascii="Century Gothic" w:hAnsi="Century Gothic"/>
                <w:sz w:val="20"/>
                <w:szCs w:val="20"/>
              </w:rPr>
              <w:t>wszystkie Zdarzenia</w:t>
            </w:r>
          </w:p>
          <w:p w14:paraId="0910187E" w14:textId="77777777" w:rsidR="003B2D0A" w:rsidRPr="007C3FDF" w:rsidRDefault="003B2D0A" w:rsidP="00130D43">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49884CE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0CFA029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6E4162A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5D732CD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68BEB2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60CA0A9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3B2D0A" w:rsidRPr="007C3FDF" w14:paraId="1A655175" w14:textId="77777777" w:rsidTr="00130D43">
        <w:tc>
          <w:tcPr>
            <w:tcW w:w="3001" w:type="dxa"/>
          </w:tcPr>
          <w:p w14:paraId="5DF3333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5601B40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Zgodnie z aktualną Umową Ubezpieczenia Generalnego wszystkich ryzyk budowy/ montażu OGP Gaz-System S.A.</w:t>
            </w:r>
          </w:p>
        </w:tc>
      </w:tr>
      <w:tr w:rsidR="003B2D0A" w:rsidRPr="007C3FDF" w14:paraId="4E1B2276" w14:textId="77777777" w:rsidTr="00130D43">
        <w:tc>
          <w:tcPr>
            <w:tcW w:w="3001" w:type="dxa"/>
          </w:tcPr>
          <w:p w14:paraId="3BF2BD36"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6A5193E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56A5376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zastrzeżeniem, że: </w:t>
            </w:r>
          </w:p>
          <w:p w14:paraId="1B4C374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5F0663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028F4A1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3B2D0A" w:rsidRPr="007C3FDF" w14:paraId="3F3CFFE5" w14:textId="77777777" w:rsidTr="00130D43">
        <w:tc>
          <w:tcPr>
            <w:tcW w:w="3001" w:type="dxa"/>
          </w:tcPr>
          <w:p w14:paraId="0205E03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67846B3"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Prawo i sądy polskie</w:t>
            </w:r>
          </w:p>
        </w:tc>
      </w:tr>
      <w:tr w:rsidR="003B2D0A" w:rsidRPr="007C3FDF" w14:paraId="6BB41AD6" w14:textId="77777777" w:rsidTr="00130D43">
        <w:tc>
          <w:tcPr>
            <w:tcW w:w="9351" w:type="dxa"/>
            <w:gridSpan w:val="2"/>
            <w:shd w:val="clear" w:color="auto" w:fill="FF5D23"/>
          </w:tcPr>
          <w:p w14:paraId="2231CDE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3B2D0A" w:rsidRPr="007C3FDF" w14:paraId="0CA3EC71" w14:textId="77777777" w:rsidTr="00130D43">
        <w:tc>
          <w:tcPr>
            <w:tcW w:w="3001" w:type="dxa"/>
          </w:tcPr>
          <w:p w14:paraId="777665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41BE16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3B2D0A" w:rsidRPr="007C3FDF" w14:paraId="21592298" w14:textId="77777777" w:rsidTr="00130D43">
        <w:tc>
          <w:tcPr>
            <w:tcW w:w="3001" w:type="dxa"/>
          </w:tcPr>
          <w:p w14:paraId="07B2565D"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5FA7E0CF"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466859CA"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2C496623"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 xml:space="preserve">W miejscu prowadzenia prac musi być dostępny sprzęt </w:t>
            </w:r>
            <w:r>
              <w:rPr>
                <w:rFonts w:ascii="Century Gothic" w:hAnsi="Century Gothic"/>
                <w:sz w:val="20"/>
                <w:szCs w:val="20"/>
              </w:rPr>
              <w:t>przeciwpożarowy</w:t>
            </w:r>
            <w:r w:rsidRPr="005359C5">
              <w:rPr>
                <w:rFonts w:ascii="Century Gothic" w:hAnsi="Century Gothic"/>
                <w:sz w:val="20"/>
                <w:szCs w:val="20"/>
              </w:rPr>
              <w:t xml:space="preserve"> określony w planie BIOZ lub poleceniu prac niebezpiecznych/ gazo-niebezpiecznych. </w:t>
            </w:r>
            <w:r>
              <w:rPr>
                <w:rFonts w:ascii="Century Gothic" w:hAnsi="Century Gothic"/>
                <w:sz w:val="20"/>
                <w:szCs w:val="20"/>
              </w:rPr>
              <w:t>S</w:t>
            </w:r>
            <w:r w:rsidRPr="005359C5">
              <w:rPr>
                <w:rFonts w:ascii="Century Gothic" w:hAnsi="Century Gothic"/>
                <w:sz w:val="20"/>
                <w:szCs w:val="20"/>
              </w:rPr>
              <w:t xml:space="preserve">przęt </w:t>
            </w:r>
            <w:r>
              <w:rPr>
                <w:rFonts w:ascii="Century Gothic" w:hAnsi="Century Gothic"/>
                <w:sz w:val="20"/>
                <w:szCs w:val="20"/>
              </w:rPr>
              <w:t>przeciwpożarowy</w:t>
            </w:r>
            <w:r w:rsidRPr="005359C5">
              <w:rPr>
                <w:rFonts w:ascii="Century Gothic" w:hAnsi="Century Gothic"/>
                <w:sz w:val="20"/>
                <w:szCs w:val="20"/>
              </w:rPr>
              <w:t xml:space="preserve">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16E018B2"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w:t>
            </w:r>
            <w:r>
              <w:rPr>
                <w:rFonts w:ascii="Century Gothic" w:hAnsi="Century Gothic"/>
                <w:sz w:val="20"/>
                <w:szCs w:val="20"/>
              </w:rPr>
              <w:t>BHP</w:t>
            </w:r>
            <w:r w:rsidRPr="005359C5">
              <w:rPr>
                <w:rFonts w:ascii="Century Gothic" w:hAnsi="Century Gothic"/>
                <w:sz w:val="20"/>
                <w:szCs w:val="20"/>
              </w:rPr>
              <w:t xml:space="preserve">, </w:t>
            </w:r>
            <w:r>
              <w:rPr>
                <w:rFonts w:ascii="Century Gothic" w:hAnsi="Century Gothic"/>
                <w:sz w:val="20"/>
                <w:szCs w:val="20"/>
              </w:rPr>
              <w:t>ochrony przeciwpożarowej oraz postępowania w razie pożaru,</w:t>
            </w:r>
          </w:p>
          <w:p w14:paraId="2E201F2F" w14:textId="77777777" w:rsidR="003B2D0A" w:rsidRPr="007C3FDF" w:rsidRDefault="003B2D0A" w:rsidP="00130D43">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3B2D0A" w:rsidRPr="007C3FDF" w14:paraId="17CD94ED" w14:textId="77777777" w:rsidTr="00130D43">
        <w:trPr>
          <w:trHeight w:val="416"/>
        </w:trPr>
        <w:tc>
          <w:tcPr>
            <w:tcW w:w="3001" w:type="dxa"/>
          </w:tcPr>
          <w:p w14:paraId="7390F6D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5B475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3B2D0A" w:rsidRPr="007C3FDF" w14:paraId="262D18D5" w14:textId="77777777" w:rsidTr="00130D43">
        <w:tc>
          <w:tcPr>
            <w:tcW w:w="3001" w:type="dxa"/>
          </w:tcPr>
          <w:p w14:paraId="44D70F48"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9720611" w14:textId="77777777" w:rsidR="003B2D0A" w:rsidRPr="007C3FDF" w:rsidRDefault="003B2D0A" w:rsidP="00130D43">
            <w:pPr>
              <w:rPr>
                <w:rFonts w:ascii="Century Gothic" w:hAnsi="Century Gothic"/>
                <w:sz w:val="20"/>
                <w:szCs w:val="20"/>
              </w:rPr>
            </w:pPr>
          </w:p>
        </w:tc>
        <w:tc>
          <w:tcPr>
            <w:tcW w:w="6350" w:type="dxa"/>
          </w:tcPr>
          <w:p w14:paraId="765F6389"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447A62CD"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3B2D0A" w:rsidRPr="007C3FDF" w14:paraId="4C1C2471" w14:textId="77777777" w:rsidTr="00130D43">
        <w:tc>
          <w:tcPr>
            <w:tcW w:w="3001" w:type="dxa"/>
          </w:tcPr>
          <w:p w14:paraId="2B1E6C5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492FDC1D" w14:textId="77777777" w:rsidR="003B2D0A" w:rsidRPr="007C3FDF" w:rsidRDefault="003B2D0A" w:rsidP="00130D43">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w:t>
            </w:r>
            <w:r>
              <w:rPr>
                <w:rFonts w:ascii="Century Gothic" w:hAnsi="Century Gothic"/>
                <w:sz w:val="20"/>
                <w:szCs w:val="20"/>
              </w:rPr>
              <w:t>j</w:t>
            </w:r>
            <w:r w:rsidRPr="005359C5">
              <w:rPr>
                <w:rFonts w:ascii="Century Gothic" w:hAnsi="Century Gothic"/>
                <w:sz w:val="20"/>
                <w:szCs w:val="20"/>
              </w:rPr>
              <w:t xml:space="preserve"> i </w:t>
            </w:r>
            <w:r>
              <w:rPr>
                <w:rFonts w:ascii="Century Gothic" w:hAnsi="Century Gothic"/>
                <w:sz w:val="20"/>
                <w:szCs w:val="20"/>
              </w:rPr>
              <w:t xml:space="preserve">pozostałych </w:t>
            </w:r>
            <w:r w:rsidRPr="005359C5">
              <w:rPr>
                <w:rFonts w:ascii="Century Gothic" w:hAnsi="Century Gothic"/>
                <w:sz w:val="20"/>
                <w:szCs w:val="20"/>
              </w:rPr>
              <w:t>krajów Unii Europejskiej.</w:t>
            </w:r>
          </w:p>
        </w:tc>
      </w:tr>
      <w:tr w:rsidR="003B2D0A" w:rsidRPr="007C3FDF" w14:paraId="43DA9315" w14:textId="77777777" w:rsidTr="00130D43">
        <w:tc>
          <w:tcPr>
            <w:tcW w:w="3001" w:type="dxa"/>
          </w:tcPr>
          <w:p w14:paraId="6EAEF01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483CC764" w14:textId="77777777" w:rsidR="003B2D0A" w:rsidRPr="007C3FDF" w:rsidRDefault="003B2D0A" w:rsidP="00130D43">
            <w:pPr>
              <w:rPr>
                <w:rFonts w:ascii="Century Gothic" w:hAnsi="Century Gothic"/>
                <w:sz w:val="20"/>
                <w:szCs w:val="20"/>
              </w:rPr>
            </w:pPr>
          </w:p>
        </w:tc>
        <w:tc>
          <w:tcPr>
            <w:tcW w:w="6350" w:type="dxa"/>
          </w:tcPr>
          <w:p w14:paraId="5EBA340C"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86B9FB4"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3B2D0A" w:rsidRPr="007C3FDF" w14:paraId="7AEC1A3C" w14:textId="77777777" w:rsidTr="00130D43">
        <w:tc>
          <w:tcPr>
            <w:tcW w:w="3001" w:type="dxa"/>
          </w:tcPr>
          <w:p w14:paraId="33496C8A"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22D5B0CB"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3B2D0A" w:rsidRPr="007C3FDF" w14:paraId="457DFD64" w14:textId="77777777" w:rsidTr="00130D43">
        <w:tc>
          <w:tcPr>
            <w:tcW w:w="3001" w:type="dxa"/>
          </w:tcPr>
          <w:p w14:paraId="4EB75C5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B5F63A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3B2D0A" w:rsidRPr="007C3FDF" w14:paraId="016702E4" w14:textId="77777777" w:rsidTr="00130D43">
        <w:tc>
          <w:tcPr>
            <w:tcW w:w="3001" w:type="dxa"/>
            <w:tcBorders>
              <w:bottom w:val="single" w:sz="4" w:space="0" w:color="auto"/>
            </w:tcBorders>
          </w:tcPr>
          <w:p w14:paraId="0D6EC0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6CD6A4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3B2D0A" w:rsidRPr="007C3FDF" w14:paraId="702B27AB" w14:textId="77777777" w:rsidTr="00130D43">
        <w:tc>
          <w:tcPr>
            <w:tcW w:w="9351" w:type="dxa"/>
            <w:gridSpan w:val="2"/>
            <w:shd w:val="clear" w:color="auto" w:fill="FF6600"/>
          </w:tcPr>
          <w:p w14:paraId="67E692C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13990395"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3B2D0A" w:rsidRPr="007C3FDF" w14:paraId="4604DDC8" w14:textId="77777777" w:rsidTr="00130D43">
        <w:tc>
          <w:tcPr>
            <w:tcW w:w="3001" w:type="dxa"/>
          </w:tcPr>
          <w:p w14:paraId="429DC25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3935106B" w14:textId="77777777" w:rsidR="003B2D0A" w:rsidRPr="007C3FDF" w:rsidRDefault="003B2D0A" w:rsidP="00130D43">
            <w:pPr>
              <w:jc w:val="both"/>
              <w:rPr>
                <w:rFonts w:ascii="Century Gothic" w:hAnsi="Century Gothic"/>
                <w:sz w:val="20"/>
                <w:szCs w:val="20"/>
              </w:rPr>
            </w:pPr>
          </w:p>
        </w:tc>
        <w:tc>
          <w:tcPr>
            <w:tcW w:w="6350" w:type="dxa"/>
          </w:tcPr>
          <w:p w14:paraId="43C3B50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3B2D0A" w:rsidRPr="007C3FDF" w14:paraId="3F3A83B9" w14:textId="77777777" w:rsidTr="00130D43">
        <w:tc>
          <w:tcPr>
            <w:tcW w:w="3001" w:type="dxa"/>
          </w:tcPr>
          <w:p w14:paraId="43BD0E6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46DD9F71" w14:textId="77777777" w:rsidR="003B2D0A" w:rsidRPr="007C3FDF" w:rsidRDefault="003B2D0A" w:rsidP="00130D43">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3B2D0A" w:rsidRPr="007C3FDF" w14:paraId="6509F0F3" w14:textId="77777777" w:rsidTr="00130D43">
        <w:tc>
          <w:tcPr>
            <w:tcW w:w="3001" w:type="dxa"/>
          </w:tcPr>
          <w:p w14:paraId="42DC2999"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1334A0C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3B2D0A" w:rsidRPr="007C3FDF" w14:paraId="5FD220AC" w14:textId="77777777" w:rsidTr="00130D43">
        <w:tc>
          <w:tcPr>
            <w:tcW w:w="3001" w:type="dxa"/>
          </w:tcPr>
          <w:p w14:paraId="496D8C9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AB86A49" w14:textId="77777777" w:rsidR="003B2D0A" w:rsidRPr="007C3FDF" w:rsidRDefault="003B2D0A" w:rsidP="00130D43">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3B2D0A" w:rsidRPr="007C3FDF" w14:paraId="3DF9F32F" w14:textId="77777777" w:rsidTr="00130D43">
        <w:tc>
          <w:tcPr>
            <w:tcW w:w="3001" w:type="dxa"/>
          </w:tcPr>
          <w:p w14:paraId="1B3C627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769B46D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w:t>
            </w:r>
            <w:r w:rsidRPr="007C3FDF">
              <w:rPr>
                <w:rFonts w:ascii="Century Gothic" w:hAnsi="Century Gothic"/>
                <w:sz w:val="20"/>
                <w:szCs w:val="20"/>
              </w:rPr>
              <w:lastRenderedPageBreak/>
              <w:t>podstawie posiadanych materiałów dowodowych,  na własny koszt obliczenie poniesionych strat tzw. rachunek strat.</w:t>
            </w:r>
          </w:p>
        </w:tc>
      </w:tr>
      <w:tr w:rsidR="003B2D0A" w:rsidRPr="007C3FDF" w14:paraId="185A56FD" w14:textId="77777777" w:rsidTr="00130D43">
        <w:tc>
          <w:tcPr>
            <w:tcW w:w="3001" w:type="dxa"/>
          </w:tcPr>
          <w:p w14:paraId="38F331C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64C8B797"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03380D13"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3B2D0A" w:rsidRPr="007C3FDF" w14:paraId="1B977672" w14:textId="77777777" w:rsidTr="00130D43">
        <w:tc>
          <w:tcPr>
            <w:tcW w:w="3001" w:type="dxa"/>
          </w:tcPr>
          <w:p w14:paraId="5CC7ED8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7CEFEE5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3B2D0A" w:rsidRPr="007C3FDF" w14:paraId="6738C4CF" w14:textId="77777777" w:rsidTr="00130D43">
        <w:tc>
          <w:tcPr>
            <w:tcW w:w="9351" w:type="dxa"/>
            <w:gridSpan w:val="2"/>
          </w:tcPr>
          <w:p w14:paraId="1CA7AA3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5D768D" w:rsidRDefault="006D609E" w:rsidP="006D609E">
      <w:pPr>
        <w:spacing w:after="0"/>
        <w:jc w:val="both"/>
        <w:rPr>
          <w:rFonts w:ascii="Century Gothic" w:hAnsi="Century Gothic"/>
          <w:i/>
          <w:sz w:val="12"/>
          <w:szCs w:val="12"/>
        </w:rPr>
      </w:pPr>
    </w:p>
    <w:p w14:paraId="0EF1663D" w14:textId="77777777" w:rsidR="006D609E" w:rsidRPr="009F33B3" w:rsidRDefault="006D609E" w:rsidP="006D609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5DEBEB7B" w14:textId="77777777" w:rsidR="006D609E" w:rsidRDefault="006D609E" w:rsidP="006D609E">
      <w:pPr>
        <w:spacing w:after="0"/>
        <w:rPr>
          <w:rFonts w:ascii="Century Gothic" w:hAnsi="Century Gothic"/>
          <w:iCs/>
          <w:sz w:val="20"/>
          <w:szCs w:val="20"/>
          <w:u w:val="single"/>
        </w:rPr>
      </w:pPr>
    </w:p>
    <w:p w14:paraId="3EB5A5CD" w14:textId="77777777" w:rsidR="006D609E" w:rsidRDefault="006D609E" w:rsidP="006D609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3D42EEDC" w14:textId="27F284DF" w:rsidR="005D768D" w:rsidRPr="005D768D" w:rsidRDefault="005D768D" w:rsidP="005D768D">
      <w:pPr>
        <w:spacing w:after="0"/>
        <w:rPr>
          <w:rFonts w:ascii="Century Gothic" w:hAnsi="Century Gothic"/>
          <w:u w:val="single"/>
        </w:rPr>
      </w:pP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34D77953" w:rsidR="005D768D" w:rsidRPr="000A4281" w:rsidRDefault="00E96066" w:rsidP="005D768D">
            <w:pPr>
              <w:jc w:val="both"/>
              <w:rPr>
                <w:rFonts w:ascii="Century Gothic" w:hAnsi="Century Gothic"/>
                <w:sz w:val="20"/>
                <w:szCs w:val="20"/>
              </w:rPr>
            </w:pPr>
            <w:r>
              <w:rPr>
                <w:rFonts w:ascii="Century Gothic" w:hAnsi="Century Gothic"/>
                <w:sz w:val="20"/>
                <w:szCs w:val="20"/>
              </w:rPr>
              <w:t xml:space="preserve">OGP </w:t>
            </w:r>
            <w:r w:rsidR="005D768D"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1F28AB83"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 xml:space="preserve">Ubezpieczający jako </w:t>
            </w:r>
            <w:r w:rsidR="00E96066">
              <w:rPr>
                <w:rFonts w:ascii="Century Gothic" w:hAnsi="Century Gothic"/>
                <w:sz w:val="20"/>
                <w:szCs w:val="20"/>
              </w:rPr>
              <w:t xml:space="preserve">OGP </w:t>
            </w:r>
            <w:r w:rsidRPr="000A4281">
              <w:rPr>
                <w:rFonts w:ascii="Century Gothic" w:hAnsi="Century Gothic"/>
                <w:sz w:val="20"/>
                <w:szCs w:val="20"/>
              </w:rPr>
              <w:t>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Zakres ubezpieczenia</w:t>
            </w:r>
          </w:p>
        </w:tc>
        <w:tc>
          <w:tcPr>
            <w:tcW w:w="6987" w:type="dxa"/>
          </w:tcPr>
          <w:p w14:paraId="0900D102" w14:textId="33A96D81" w:rsidR="005D768D" w:rsidRPr="000A4281" w:rsidRDefault="005D768D" w:rsidP="00394B45">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r w:rsidR="00394B45">
              <w:rPr>
                <w:rFonts w:ascii="Century Gothic" w:hAnsi="Century Gothic"/>
                <w:sz w:val="20"/>
                <w:szCs w:val="20"/>
              </w:rPr>
              <w:t xml:space="preserve"> </w:t>
            </w: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z zastrzeżeniem podlimitów odpowiedzialności.</w:t>
            </w:r>
          </w:p>
        </w:tc>
      </w:tr>
      <w:tr w:rsidR="000A4281" w:rsidRPr="000A4281" w14:paraId="6A3478D3" w14:textId="77777777" w:rsidTr="007C3FDF">
        <w:tc>
          <w:tcPr>
            <w:tcW w:w="2364" w:type="dxa"/>
          </w:tcPr>
          <w:p w14:paraId="0316B205" w14:textId="3EE2D9C5" w:rsidR="000A4281" w:rsidRPr="000A4281" w:rsidRDefault="000A4281"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Najważniejsze wyłączenia z zakresu ubezpieczenia (w zakresie wyłączeń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336833CB"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Wybrane, </w:t>
            </w:r>
            <w:r w:rsidR="00E96066">
              <w:rPr>
                <w:rFonts w:ascii="Century Gothic" w:hAnsi="Century Gothic"/>
                <w:sz w:val="20"/>
                <w:szCs w:val="20"/>
              </w:rPr>
              <w:t>k</w:t>
            </w:r>
            <w:r w:rsidRPr="000A4281">
              <w:rPr>
                <w:rFonts w:ascii="Century Gothic" w:hAnsi="Century Gothic"/>
                <w:sz w:val="20"/>
                <w:szCs w:val="20"/>
              </w:rPr>
              <w:t>luczowe rozszerzenia zakresu ubezpieczenia i  podlimity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1B0F5444" w14:textId="30FBE64D" w:rsidR="005D768D" w:rsidRPr="000A4281" w:rsidRDefault="005D768D" w:rsidP="00394B45">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Okres ubezpieczenia</w:t>
            </w:r>
          </w:p>
        </w:tc>
        <w:tc>
          <w:tcPr>
            <w:tcW w:w="6987" w:type="dxa"/>
          </w:tcPr>
          <w:p w14:paraId="36206495" w14:textId="05DAABC2"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r w:rsidR="00394B45">
              <w:rPr>
                <w:rFonts w:ascii="Century Gothic" w:hAnsi="Century Gothic"/>
                <w:sz w:val="20"/>
                <w:szCs w:val="20"/>
              </w:rPr>
              <w:t>.</w:t>
            </w:r>
          </w:p>
        </w:tc>
      </w:tr>
      <w:tr w:rsidR="005D768D" w:rsidRPr="000A4281" w14:paraId="2FF5A415" w14:textId="77777777" w:rsidTr="007C3FDF">
        <w:tc>
          <w:tcPr>
            <w:tcW w:w="2364" w:type="dxa"/>
          </w:tcPr>
          <w:p w14:paraId="354E743D"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Trigger (czasowy</w:t>
            </w:r>
          </w:p>
          <w:p w14:paraId="1DCE2AC5" w14:textId="77777777" w:rsidR="005D768D" w:rsidRPr="000A4281" w:rsidRDefault="005D768D" w:rsidP="00E96066">
            <w:pPr>
              <w:ind w:left="458"/>
              <w:contextualSpacing/>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4ABEF3FC"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Wypadek (wystąpienie błędu zawodowego), który miał miejsce w okresie ubezpieczenia (tzw. act commited)</w:t>
            </w:r>
            <w:r w:rsidR="00394B45">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1AA2E67D"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r w:rsidR="00394B45">
              <w:rPr>
                <w:rFonts w:ascii="Century Gothic" w:hAnsi="Century Gothic"/>
                <w:sz w:val="20"/>
                <w:szCs w:val="20"/>
              </w:rPr>
              <w:t>.</w:t>
            </w:r>
          </w:p>
        </w:tc>
      </w:tr>
      <w:tr w:rsidR="005D768D" w:rsidRPr="000A4281" w14:paraId="0DD32CD9" w14:textId="77777777" w:rsidTr="007C3FDF">
        <w:tc>
          <w:tcPr>
            <w:tcW w:w="2364" w:type="dxa"/>
          </w:tcPr>
          <w:p w14:paraId="7B102C5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296977DD"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Zgodnie z </w:t>
            </w:r>
            <w:r w:rsidR="00E96066">
              <w:rPr>
                <w:rFonts w:ascii="Century Gothic" w:hAnsi="Century Gothic"/>
                <w:sz w:val="20"/>
                <w:szCs w:val="20"/>
              </w:rPr>
              <w:t xml:space="preserve">aktualną </w:t>
            </w:r>
            <w:r w:rsidRPr="000A4281">
              <w:rPr>
                <w:rFonts w:ascii="Century Gothic" w:hAnsi="Century Gothic"/>
                <w:sz w:val="20"/>
                <w:szCs w:val="20"/>
              </w:rPr>
              <w:t>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670F803"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3A0418E3" w:rsidR="005D768D" w:rsidRPr="000A4281" w:rsidRDefault="00E96066"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Certyfikat ubezpieczeniowy</w:t>
            </w:r>
          </w:p>
        </w:tc>
        <w:tc>
          <w:tcPr>
            <w:tcW w:w="6987" w:type="dxa"/>
          </w:tcPr>
          <w:p w14:paraId="0B91E7C7" w14:textId="0867DFF2" w:rsidR="005D768D" w:rsidRPr="000A4281" w:rsidRDefault="00E96066" w:rsidP="005D768D">
            <w:pPr>
              <w:jc w:val="both"/>
              <w:rPr>
                <w:rFonts w:ascii="Century Gothic" w:hAnsi="Century Gothic"/>
                <w:sz w:val="20"/>
                <w:szCs w:val="20"/>
              </w:rPr>
            </w:pPr>
            <w:r w:rsidRPr="00E96066">
              <w:rPr>
                <w:rFonts w:ascii="Century Gothic" w:hAnsi="Century Gothic"/>
                <w:sz w:val="20"/>
                <w:szCs w:val="20"/>
              </w:rPr>
              <w:t>Na życzenie Wykonawcy zostanie wystawiony przez Ubezpieczyciela certyfikat ubezpieczeniowy</w:t>
            </w:r>
            <w:r>
              <w:rPr>
                <w:rFonts w:ascii="Century Gothic" w:hAnsi="Century Gothic"/>
                <w:sz w:val="20"/>
                <w:szCs w:val="20"/>
              </w:rPr>
              <w:t>, p</w:t>
            </w:r>
            <w:r w:rsidRPr="00E96066">
              <w:rPr>
                <w:rFonts w:ascii="Century Gothic" w:hAnsi="Century Gothic"/>
                <w:sz w:val="20"/>
                <w:szCs w:val="20"/>
              </w:rPr>
              <w:t>otwierdzający zawarcie umowy ubezpieczenia na warunkach Umowy Ubezpieczenia Generalnego.</w:t>
            </w: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71FBD715" w14:textId="66E78A8A"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tc>
      </w:tr>
      <w:tr w:rsidR="000A4281" w:rsidRPr="000A4281" w14:paraId="71C71107" w14:textId="77777777" w:rsidTr="000A4281">
        <w:trPr>
          <w:trHeight w:val="833"/>
        </w:trPr>
        <w:tc>
          <w:tcPr>
            <w:tcW w:w="2340" w:type="dxa"/>
            <w:vMerge w:val="restart"/>
          </w:tcPr>
          <w:p w14:paraId="28D9F5C1" w14:textId="24F2009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394B45">
              <w:rPr>
                <w:rFonts w:ascii="Century Gothic" w:hAnsi="Century Gothic"/>
                <w:sz w:val="20"/>
                <w:szCs w:val="20"/>
              </w:rPr>
              <w:t>U</w:t>
            </w:r>
            <w:r w:rsidR="00394B45">
              <w:rPr>
                <w:rFonts w:ascii="Century Gothic" w:hAnsi="Century Gothic"/>
                <w:sz w:val="20"/>
                <w:szCs w:val="20"/>
              </w:rPr>
              <w:t xml:space="preserve">bezpieczonego </w:t>
            </w:r>
            <w:r w:rsidRPr="000A4281">
              <w:rPr>
                <w:rFonts w:ascii="Century Gothic" w:hAnsi="Century Gothic"/>
                <w:sz w:val="20"/>
                <w:szCs w:val="20"/>
              </w:rPr>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Użyć dostępnych mu środków w celu ratowania przedmiotu ubezpieczenia oraz zapobieżenia szkodzie lub zmniejszenia jej rozmiarów.</w:t>
            </w:r>
          </w:p>
        </w:tc>
      </w:tr>
      <w:tr w:rsidR="000A4281" w:rsidRPr="000A4281" w14:paraId="0F530FA0" w14:textId="77777777" w:rsidTr="00394B45">
        <w:trPr>
          <w:trHeight w:val="1542"/>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3345A359"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w:t>
      </w:r>
      <w:r w:rsidR="006D609E">
        <w:rPr>
          <w:rFonts w:ascii="Century Gothic" w:eastAsia="Calibri" w:hAnsi="Century Gothic" w:cs="Times New Roman"/>
          <w:sz w:val="20"/>
          <w:szCs w:val="20"/>
          <w:u w:val="single"/>
        </w:rPr>
        <w:t xml:space="preserve"> wyłącznie</w:t>
      </w:r>
      <w:r w:rsidR="005D768D" w:rsidRPr="009F33B3">
        <w:rPr>
          <w:rFonts w:ascii="Century Gothic" w:eastAsia="Calibri" w:hAnsi="Century Gothic" w:cs="Times New Roman"/>
          <w:sz w:val="20"/>
          <w:szCs w:val="20"/>
          <w:u w:val="single"/>
        </w:rPr>
        <w:t xml:space="preserve">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EAEC116" w14:textId="77777777" w:rsidR="003F5277" w:rsidRPr="003F5277" w:rsidRDefault="003F5277" w:rsidP="003F5277">
      <w:pPr>
        <w:ind w:left="360"/>
        <w:rPr>
          <w:rFonts w:ascii="Century Gothic" w:hAnsi="Century Gothic"/>
          <w:b/>
        </w:rPr>
      </w:pPr>
    </w:p>
    <w:p w14:paraId="612425DA" w14:textId="6F84A50E" w:rsidR="003F5277" w:rsidRDefault="003F5277" w:rsidP="003F5277">
      <w:pPr>
        <w:pStyle w:val="Akapitzlist"/>
        <w:numPr>
          <w:ilvl w:val="0"/>
          <w:numId w:val="50"/>
        </w:num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C00B67">
        <w:rPr>
          <w:rFonts w:ascii="Century Gothic" w:eastAsia="Calibri" w:hAnsi="Century Gothic" w:cs="Times New Roman"/>
          <w:sz w:val="20"/>
          <w:szCs w:val="20"/>
        </w:rPr>
        <w:t xml:space="preserve">art. § … </w:t>
      </w:r>
      <w:r w:rsidRPr="00516949">
        <w:rPr>
          <w:rFonts w:ascii="Century Gothic" w:eastAsia="Calibri" w:hAnsi="Century Gothic" w:cs="Times New Roman"/>
          <w:sz w:val="20"/>
          <w:szCs w:val="20"/>
        </w:rPr>
        <w:t xml:space="preserve">Umowy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42CD1175" w14:textId="77777777" w:rsidR="003F5277" w:rsidRPr="000F6039" w:rsidRDefault="003F5277" w:rsidP="003F5277">
      <w:pPr>
        <w:pStyle w:val="Akapitzlist"/>
        <w:numPr>
          <w:ilvl w:val="0"/>
          <w:numId w:val="50"/>
        </w:numPr>
        <w:jc w:val="both"/>
        <w:rPr>
          <w:rFonts w:ascii="Century Gothic" w:eastAsia="Calibri" w:hAnsi="Century Gothic" w:cs="Times New Roman"/>
          <w:bCs/>
          <w:sz w:val="20"/>
          <w:szCs w:val="20"/>
        </w:rPr>
      </w:pPr>
      <w:r w:rsidRPr="000F6039">
        <w:rPr>
          <w:rFonts w:ascii="Century Gothic" w:hAnsi="Century Gothic"/>
          <w:bCs/>
          <w:sz w:val="20"/>
          <w:szCs w:val="20"/>
        </w:rPr>
        <w:lastRenderedPageBreak/>
        <w:t>Wykonawca ma do wyboru dwie możliwości dopełnienia obowiązku ubezpieczenia:</w:t>
      </w:r>
    </w:p>
    <w:p w14:paraId="5023999C" w14:textId="77777777" w:rsidR="003F5277" w:rsidRPr="000F6039" w:rsidRDefault="003F5277" w:rsidP="003F5277">
      <w:pPr>
        <w:pStyle w:val="Akapitzlist"/>
        <w:numPr>
          <w:ilvl w:val="0"/>
          <w:numId w:val="51"/>
        </w:numPr>
        <w:jc w:val="both"/>
        <w:rPr>
          <w:rFonts w:ascii="Century Gothic" w:hAnsi="Century Gothic"/>
          <w:bCs/>
          <w:sz w:val="20"/>
          <w:szCs w:val="20"/>
        </w:rPr>
      </w:pPr>
      <w:r w:rsidRPr="000F6039">
        <w:rPr>
          <w:rFonts w:ascii="Century Gothic" w:hAnsi="Century Gothic"/>
          <w:bCs/>
          <w:sz w:val="20"/>
          <w:szCs w:val="20"/>
        </w:rPr>
        <w:t>przedstawić polisę własną (dedykowaną lub obrotową) spełniającą minimalne wymagania, których spełnienie zostanie potwierdzone na piśmie przez licencjonowanego brokera ubezpieczeniowego lub Ubezpieczyciela;</w:t>
      </w:r>
    </w:p>
    <w:p w14:paraId="00C8C2ED" w14:textId="77777777" w:rsidR="003F5277" w:rsidRPr="000F6039" w:rsidRDefault="003F5277" w:rsidP="003F5277">
      <w:pPr>
        <w:pStyle w:val="Akapitzlist"/>
        <w:numPr>
          <w:ilvl w:val="0"/>
          <w:numId w:val="51"/>
        </w:numPr>
        <w:jc w:val="both"/>
        <w:rPr>
          <w:rFonts w:ascii="Century Gothic" w:eastAsia="Calibri" w:hAnsi="Century Gothic" w:cs="Times New Roman"/>
          <w:bCs/>
          <w:sz w:val="20"/>
          <w:szCs w:val="20"/>
        </w:rPr>
      </w:pPr>
      <w:r w:rsidRPr="000F6039">
        <w:rPr>
          <w:rFonts w:ascii="Century Gothic" w:hAnsi="Century Gothic"/>
          <w:bCs/>
          <w:sz w:val="20"/>
          <w:szCs w:val="20"/>
        </w:rPr>
        <w:t>zawrzeć odpowiednią umowę ubezpieczenia na podstawie oferty udostępnionej Wykonawcom przez Ubezpieczyciela</w:t>
      </w:r>
      <w:r>
        <w:rPr>
          <w:rFonts w:ascii="Century Gothic" w:hAnsi="Century Gothic"/>
          <w:bCs/>
          <w:sz w:val="20"/>
          <w:szCs w:val="20"/>
        </w:rPr>
        <w:t xml:space="preserve">: </w:t>
      </w:r>
      <w:r w:rsidRPr="000F6039">
        <w:rPr>
          <w:rFonts w:ascii="Century Gothic" w:eastAsia="Calibri" w:hAnsi="Century Gothic" w:cs="Times New Roman"/>
          <w:bCs/>
          <w:sz w:val="20"/>
          <w:szCs w:val="20"/>
        </w:rPr>
        <w:t xml:space="preserve">Towarzystwo Ubezpieczeń Wzajemnych Polski Zakład Ubezpieczeń Wzajemnych pod adresem e-mail: </w:t>
      </w:r>
      <w:hyperlink r:id="rId8" w:history="1">
        <w:r w:rsidRPr="00405C6C">
          <w:rPr>
            <w:rStyle w:val="Hipercze"/>
            <w:rFonts w:ascii="Century Gothic" w:eastAsia="Calibri" w:hAnsi="Century Gothic" w:cs="Times New Roman"/>
            <w:bCs/>
            <w:sz w:val="20"/>
            <w:szCs w:val="20"/>
          </w:rPr>
          <w:t>ewa.laskus@tuwpzuw.pl</w:t>
        </w:r>
      </w:hyperlink>
      <w:r>
        <w:rPr>
          <w:rFonts w:ascii="Century Gothic" w:eastAsia="Calibri" w:hAnsi="Century Gothic" w:cs="Times New Roman"/>
          <w:bCs/>
          <w:sz w:val="20"/>
          <w:szCs w:val="20"/>
        </w:rPr>
        <w:t xml:space="preserve"> </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053D6F00" w14:textId="794E24AC" w:rsidR="00FD08F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wymagane dla Wariantu I i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6E37D33" w14:textId="077EACE2"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87D70E3" w14:textId="15E82FCE" w:rsidR="00FD08F7" w:rsidRPr="00394B45" w:rsidRDefault="00FD08F7" w:rsidP="00FB2385">
            <w:pPr>
              <w:numPr>
                <w:ilvl w:val="0"/>
                <w:numId w:val="46"/>
              </w:numPr>
              <w:jc w:val="both"/>
              <w:rPr>
                <w:rFonts w:ascii="Century Gothic" w:hAnsi="Century Gothic"/>
                <w:sz w:val="20"/>
                <w:szCs w:val="20"/>
              </w:rPr>
            </w:pPr>
            <w:r w:rsidRPr="00726217">
              <w:rPr>
                <w:rFonts w:ascii="Century Gothic" w:hAnsi="Century Gothic"/>
                <w:sz w:val="20"/>
                <w:szCs w:val="20"/>
              </w:rPr>
              <w:t>czystych strat finansowych (ang. pure financial losses) – tj. szkody nie będącej szkodą osobową ani szkodą rzeczową (wymagane dla Wariantu od II do IV/IVA).</w:t>
            </w: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20C82FA5" w:rsidR="00FD08F7" w:rsidRPr="00FC5DC1" w:rsidRDefault="00394B45" w:rsidP="00FB2385">
            <w:pPr>
              <w:jc w:val="both"/>
              <w:rPr>
                <w:rFonts w:ascii="Century Gothic" w:hAnsi="Century Gothic"/>
                <w:b/>
                <w:sz w:val="20"/>
                <w:szCs w:val="20"/>
              </w:rPr>
            </w:pPr>
            <w:r>
              <w:rPr>
                <w:rFonts w:ascii="Century Gothic" w:hAnsi="Century Gothic"/>
                <w:sz w:val="20"/>
                <w:szCs w:val="20"/>
              </w:rPr>
              <w:t>/</w:t>
            </w:r>
            <w:r w:rsidR="00FD08F7"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r>
              <w:rPr>
                <w:rFonts w:ascii="Century Gothic" w:hAnsi="Century Gothic"/>
                <w:sz w:val="20"/>
                <w:szCs w:val="20"/>
              </w:rPr>
              <w:t>/</w:t>
            </w:r>
            <w:r w:rsidR="00FD08F7" w:rsidRPr="00FC5DC1">
              <w:rPr>
                <w:rFonts w:ascii="Century Gothic" w:hAnsi="Century Gothic"/>
                <w:sz w:val="20"/>
                <w:szCs w:val="20"/>
              </w:rPr>
              <w:t>.</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xml:space="preserve">, z zastrzeżeniem że dla kontraktów, których przedmiotem jest budowa, rozbudowa, przebudowa, modernizacja tłoczni gazu o wartości kontraktu powyżej </w:t>
            </w:r>
            <w:r w:rsidRPr="006A545F">
              <w:rPr>
                <w:rFonts w:ascii="Century Gothic" w:hAnsi="Century Gothic"/>
                <w:sz w:val="12"/>
                <w:szCs w:val="12"/>
              </w:rPr>
              <w:lastRenderedPageBreak/>
              <w:t>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lastRenderedPageBreak/>
              <w:t>Ubezpieczający</w:t>
            </w:r>
            <w:r w:rsidRPr="00F27F96">
              <w:rPr>
                <w:rFonts w:ascii="Century Gothic" w:hAnsi="Century Gothic"/>
                <w:b/>
                <w:bCs/>
                <w:sz w:val="20"/>
                <w:szCs w:val="20"/>
              </w:rPr>
              <w:t xml:space="preserve">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50FB42C0" w14:textId="77777777" w:rsidR="00394B45"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 xml:space="preserve">poprzez przedstawienie umowy ubezpieczenia spełniającej wszystkie wymogi opisane w niniejszym dokumencie gdzie jako ubezpieczeni (współubezpieczeni) wskazani zostaną wszyscy wykonawcy działający wspólnie np. członkowie konsorcjum </w:t>
            </w:r>
          </w:p>
          <w:p w14:paraId="04E69D8D" w14:textId="45044C98" w:rsidR="00FD08F7" w:rsidRPr="00726217" w:rsidRDefault="00FD08F7" w:rsidP="00394B45">
            <w:pPr>
              <w:pStyle w:val="Akapitzlist"/>
              <w:jc w:val="both"/>
              <w:rPr>
                <w:rFonts w:ascii="Century Gothic" w:hAnsi="Century Gothic"/>
                <w:sz w:val="20"/>
                <w:szCs w:val="20"/>
              </w:rPr>
            </w:pPr>
            <w:r w:rsidRPr="00726217">
              <w:rPr>
                <w:rFonts w:ascii="Century Gothic" w:hAnsi="Century Gothic"/>
                <w:sz w:val="20"/>
                <w:szCs w:val="20"/>
              </w:rPr>
              <w:t>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6018F194" w14:textId="523CB04B" w:rsidR="00FD08F7" w:rsidRDefault="00FD08F7" w:rsidP="00FB2385">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5B29B946" w14:textId="7D440057" w:rsidR="00FD08F7" w:rsidRPr="00106003" w:rsidRDefault="00FD08F7" w:rsidP="00394B45">
            <w:pPr>
              <w:jc w:val="both"/>
              <w:rPr>
                <w:rFonts w:ascii="Century Gothic" w:hAnsi="Century Gothic"/>
                <w:b/>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tc>
      </w:tr>
      <w:tr w:rsidR="00FD08F7" w:rsidRPr="00726217" w14:paraId="38F1E9ED" w14:textId="77777777" w:rsidTr="00FB2385">
        <w:tc>
          <w:tcPr>
            <w:tcW w:w="10065" w:type="dxa"/>
            <w:gridSpan w:val="22"/>
          </w:tcPr>
          <w:p w14:paraId="54FAC066"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 W przypadku wariantów I i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394B45">
            <w:pPr>
              <w:pStyle w:val="Akapitzlist"/>
              <w:numPr>
                <w:ilvl w:val="0"/>
                <w:numId w:val="45"/>
              </w:numPr>
              <w:ind w:left="316" w:hanging="283"/>
              <w:jc w:val="both"/>
              <w:rPr>
                <w:bCs/>
              </w:rPr>
            </w:pPr>
            <w:r w:rsidRPr="002E07AE">
              <w:rPr>
                <w:rFonts w:ascii="Century Gothic" w:hAnsi="Century Gothic"/>
                <w:b/>
                <w:sz w:val="20"/>
                <w:szCs w:val="20"/>
              </w:rPr>
              <w:t xml:space="preserve">Wymagane rozszerzenia zakresu ubezpieczenia wraz z minimalnymi dopuszczalnymi podlimitami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a) podlimit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b) kary nałożone na osoby trzecie I regresowane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a) podlimit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b) kary nałożone na osoby trzecie I regresowane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a) podlimit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b) kary nałożone na osoby trzecie I regresowane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lastRenderedPageBreak/>
              <w:t>a) podlimit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b) kary nałożone na osoby trzecie I regresowane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lastRenderedPageBreak/>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400 tys. PLN (wymagane dla Inwestycji, których przedmiot prac obejmuje prace 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4F8BA618" w:rsidR="00FD08F7" w:rsidRPr="002E07AE" w:rsidRDefault="00020DA9" w:rsidP="00FB2385">
            <w:pPr>
              <w:rPr>
                <w:rFonts w:ascii="Century Gothic" w:hAnsi="Century Gothic"/>
                <w:b/>
                <w:sz w:val="20"/>
                <w:szCs w:val="20"/>
              </w:rPr>
            </w:pPr>
            <w:r>
              <w:rPr>
                <w:rFonts w:ascii="Century Gothic" w:hAnsi="Century Gothic"/>
                <w:sz w:val="12"/>
                <w:szCs w:val="12"/>
              </w:rPr>
              <w:t>1</w:t>
            </w:r>
            <w:r w:rsidR="00FD08F7" w:rsidRPr="002E07AE">
              <w:rPr>
                <w:rFonts w:ascii="Century Gothic" w:hAnsi="Century Gothic"/>
                <w:sz w:val="12"/>
                <w:szCs w:val="12"/>
              </w:rPr>
              <w:t>0 mln PLN</w:t>
            </w:r>
          </w:p>
        </w:tc>
        <w:tc>
          <w:tcPr>
            <w:tcW w:w="1438" w:type="dxa"/>
            <w:vAlign w:val="center"/>
          </w:tcPr>
          <w:p w14:paraId="476AFBA0" w14:textId="524198B4" w:rsidR="00FD08F7" w:rsidRPr="00106003" w:rsidRDefault="00020DA9" w:rsidP="00FB2385">
            <w:pPr>
              <w:rPr>
                <w:rFonts w:ascii="Century Gothic" w:hAnsi="Century Gothic"/>
                <w:b/>
                <w:sz w:val="20"/>
                <w:szCs w:val="20"/>
              </w:rPr>
            </w:pPr>
            <w:r>
              <w:rPr>
                <w:rFonts w:ascii="Century Gothic" w:hAnsi="Century Gothic"/>
                <w:sz w:val="12"/>
                <w:szCs w:val="12"/>
              </w:rPr>
              <w:t>1</w:t>
            </w:r>
            <w:r w:rsidR="00FD08F7" w:rsidRPr="00EC61E1">
              <w:rPr>
                <w:rFonts w:ascii="Century Gothic" w:hAnsi="Century Gothic"/>
                <w:sz w:val="12"/>
                <w:szCs w:val="12"/>
              </w:rPr>
              <w:t>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548325F3" w14:textId="58B30F80" w:rsidR="00A523E3" w:rsidRPr="004E2DEF" w:rsidRDefault="00FD08F7" w:rsidP="004E2DEF">
            <w:pPr>
              <w:pStyle w:val="Akapitzlist"/>
              <w:numPr>
                <w:ilvl w:val="0"/>
                <w:numId w:val="45"/>
              </w:numPr>
              <w:ind w:left="316" w:hanging="283"/>
              <w:jc w:val="both"/>
              <w:rPr>
                <w:rFonts w:ascii="Century Gothic" w:hAnsi="Century Gothic"/>
                <w:sz w:val="20"/>
                <w:szCs w:val="20"/>
              </w:rPr>
            </w:pPr>
            <w:r>
              <w:rPr>
                <w:rFonts w:ascii="Century Gothic" w:hAnsi="Century Gothic"/>
                <w:b/>
                <w:sz w:val="20"/>
                <w:szCs w:val="20"/>
              </w:rPr>
              <w:t>Okres ubezpieczenia</w:t>
            </w:r>
          </w:p>
          <w:p w14:paraId="0A9BD7B9" w14:textId="77777777" w:rsidR="004E2DEF" w:rsidRPr="004E2DEF" w:rsidRDefault="004E2DEF" w:rsidP="004E2DEF">
            <w:pPr>
              <w:jc w:val="both"/>
              <w:rPr>
                <w:rFonts w:ascii="Century Gothic" w:hAnsi="Century Gothic"/>
                <w:sz w:val="20"/>
                <w:szCs w:val="20"/>
              </w:rPr>
            </w:pPr>
          </w:p>
          <w:p w14:paraId="2597D67A" w14:textId="4684ADC0"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 xml:space="preserve">tj. okres od dnia podpisania niniejszej </w:t>
            </w:r>
            <w:r w:rsidRPr="000A3430">
              <w:rPr>
                <w:rFonts w:ascii="Century Gothic" w:hAnsi="Century Gothic"/>
                <w:sz w:val="12"/>
                <w:szCs w:val="12"/>
              </w:rPr>
              <w:lastRenderedPageBreak/>
              <w:t>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lastRenderedPageBreak/>
              <w:t>Okres ubezpieczenia powinien obejmować cały Okres Realizacji Inwestycji</w:t>
            </w:r>
            <w:r>
              <w:t xml:space="preserve"> </w:t>
            </w:r>
            <w:r w:rsidRPr="000A3430">
              <w:rPr>
                <w:rFonts w:ascii="Century Gothic" w:hAnsi="Century Gothic"/>
                <w:sz w:val="12"/>
                <w:szCs w:val="12"/>
              </w:rPr>
              <w:t xml:space="preserve">tj. okres od dnia podpisania niniejszej </w:t>
            </w:r>
            <w:r w:rsidRPr="000A3430">
              <w:rPr>
                <w:rFonts w:ascii="Century Gothic" w:hAnsi="Century Gothic"/>
                <w:sz w:val="12"/>
                <w:szCs w:val="12"/>
              </w:rPr>
              <w:lastRenderedPageBreak/>
              <w:t>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lastRenderedPageBreak/>
              <w:t xml:space="preserve">Okres ubezpieczenia powinien obejmować cały Okres Realizacji Inwestycji tj. okres od dnia podpisania niniejszej </w:t>
            </w:r>
            <w:r w:rsidRPr="00323F8C">
              <w:rPr>
                <w:rFonts w:ascii="Century Gothic" w:hAnsi="Century Gothic"/>
                <w:sz w:val="12"/>
                <w:szCs w:val="12"/>
              </w:rPr>
              <w:lastRenderedPageBreak/>
              <w:t>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lastRenderedPageBreak/>
              <w:t xml:space="preserve">Okres ubezpieczenia powinien obejmować cały Okres Realizacji Inwestycji tj. okres od dnia podpisania niniejszej </w:t>
            </w:r>
            <w:r w:rsidRPr="00323F8C">
              <w:rPr>
                <w:rFonts w:ascii="Century Gothic" w:hAnsi="Century Gothic"/>
                <w:sz w:val="12"/>
                <w:szCs w:val="12"/>
              </w:rPr>
              <w:lastRenderedPageBreak/>
              <w:t>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lastRenderedPageBreak/>
              <w:t xml:space="preserve">Okres ubezpieczenia powinien obejmować cały Okres Realizacji Inwestycji tj. okres od dnia podpisania niniejszej </w:t>
            </w:r>
            <w:r w:rsidRPr="00323F8C">
              <w:rPr>
                <w:rFonts w:ascii="Century Gothic" w:hAnsi="Century Gothic"/>
                <w:sz w:val="12"/>
                <w:szCs w:val="12"/>
              </w:rPr>
              <w:lastRenderedPageBreak/>
              <w:t>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lastRenderedPageBreak/>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Czasowy zakres ochrony ubezpieczeniowej stosowany w umowie ubezpieczenia (tzw. trigger)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394B45">
            <w:pPr>
              <w:pStyle w:val="Akapitzlist"/>
              <w:numPr>
                <w:ilvl w:val="0"/>
                <w:numId w:val="45"/>
              </w:numPr>
              <w:ind w:left="316" w:hanging="283"/>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W przypadku Wariantu I i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394B45">
            <w:pPr>
              <w:pStyle w:val="Akapitzlist"/>
              <w:numPr>
                <w:ilvl w:val="0"/>
                <w:numId w:val="45"/>
              </w:numPr>
              <w:ind w:left="316" w:hanging="283"/>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394B45">
            <w:pPr>
              <w:pStyle w:val="Akapitzlist"/>
              <w:numPr>
                <w:ilvl w:val="0"/>
                <w:numId w:val="45"/>
              </w:numPr>
              <w:ind w:left="316" w:hanging="283"/>
              <w:jc w:val="both"/>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wyłączeń: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czystych strat finansowych powstałych w następstwie wadliwości wykonanej pracy lub usługi (z zastrzeżeniem pkt 12 Tabeli nr 2 Minimalne podlimity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kar pieniężnych, grzywien kar umownych nałożonych na osoby trzecie i rozrysowanych od ubezpieczonego (z zastrzeżeniem pkt 12 Tabeli nr 2 Minimalne podlimity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lastRenderedPageBreak/>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0"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0"/>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06E89C86"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r w:rsidR="00394B45">
              <w:rPr>
                <w:rFonts w:ascii="Century Gothic" w:hAnsi="Century Gothic" w:cs="Arial"/>
                <w:sz w:val="20"/>
                <w:szCs w:val="20"/>
              </w:rPr>
              <w:t>.</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default" r:id="rId9"/>
      <w:footerReference w:type="default" r:id="rId10"/>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4B2B8" w14:textId="77777777" w:rsidR="00F76E56" w:rsidRDefault="00F76E56" w:rsidP="00E83CA0">
      <w:pPr>
        <w:spacing w:after="0" w:line="240" w:lineRule="auto"/>
      </w:pPr>
      <w:r>
        <w:separator/>
      </w:r>
    </w:p>
  </w:endnote>
  <w:endnote w:type="continuationSeparator" w:id="0">
    <w:p w14:paraId="22176BD6" w14:textId="77777777" w:rsidR="00F76E56" w:rsidRDefault="00F76E56"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8E6F4" w14:textId="77777777" w:rsidR="00F76E56" w:rsidRDefault="00F76E56" w:rsidP="00E83CA0">
      <w:pPr>
        <w:spacing w:after="0" w:line="240" w:lineRule="auto"/>
      </w:pPr>
      <w:r>
        <w:separator/>
      </w:r>
    </w:p>
  </w:footnote>
  <w:footnote w:type="continuationSeparator" w:id="0">
    <w:p w14:paraId="0915A6FD" w14:textId="77777777" w:rsidR="00F76E56" w:rsidRDefault="00F76E56"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6B3" w14:textId="77777777" w:rsidR="005D768D" w:rsidRPr="005A7ED1" w:rsidRDefault="005D768D" w:rsidP="005A7ED1">
    <w:pPr>
      <w:pStyle w:val="Nagwek"/>
      <w:jc w:val="right"/>
      <w:rPr>
        <w:b/>
      </w:rPr>
    </w:pPr>
    <w:r w:rsidRPr="005A7ED1">
      <w:rPr>
        <w:b/>
      </w:rPr>
      <w:t>ZAŁĄCZNIK NR 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2C495A"/>
    <w:multiLevelType w:val="hybridMultilevel"/>
    <w:tmpl w:val="71EA7886"/>
    <w:lvl w:ilvl="0" w:tplc="A9EC2B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4"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772A45"/>
    <w:multiLevelType w:val="hybridMultilevel"/>
    <w:tmpl w:val="14428F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1C6EDC"/>
    <w:multiLevelType w:val="hybridMultilevel"/>
    <w:tmpl w:val="022E04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2A5D82"/>
    <w:multiLevelType w:val="hybridMultilevel"/>
    <w:tmpl w:val="3014E0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22"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4"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9"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10"/>
  </w:num>
  <w:num w:numId="2" w16cid:durableId="1540320008">
    <w:abstractNumId w:val="8"/>
  </w:num>
  <w:num w:numId="3" w16cid:durableId="763502231">
    <w:abstractNumId w:val="9"/>
  </w:num>
  <w:num w:numId="4" w16cid:durableId="598097780">
    <w:abstractNumId w:val="6"/>
  </w:num>
  <w:num w:numId="5" w16cid:durableId="2031881382">
    <w:abstractNumId w:val="35"/>
  </w:num>
  <w:num w:numId="6" w16cid:durableId="1943763995">
    <w:abstractNumId w:val="27"/>
  </w:num>
  <w:num w:numId="7" w16cid:durableId="16315467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43"/>
  </w:num>
  <w:num w:numId="11" w16cid:durableId="1988703923">
    <w:abstractNumId w:val="40"/>
  </w:num>
  <w:num w:numId="12" w16cid:durableId="825392419">
    <w:abstractNumId w:val="15"/>
  </w:num>
  <w:num w:numId="13" w16cid:durableId="869684529">
    <w:abstractNumId w:val="3"/>
  </w:num>
  <w:num w:numId="14" w16cid:durableId="1250113760">
    <w:abstractNumId w:val="38"/>
  </w:num>
  <w:num w:numId="15" w16cid:durableId="785585044">
    <w:abstractNumId w:val="33"/>
  </w:num>
  <w:num w:numId="16" w16cid:durableId="1260723883">
    <w:abstractNumId w:val="1"/>
  </w:num>
  <w:num w:numId="17" w16cid:durableId="475877965">
    <w:abstractNumId w:val="44"/>
  </w:num>
  <w:num w:numId="18" w16cid:durableId="960762424">
    <w:abstractNumId w:val="14"/>
  </w:num>
  <w:num w:numId="19" w16cid:durableId="10162733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22"/>
  </w:num>
  <w:num w:numId="21" w16cid:durableId="1862813806">
    <w:abstractNumId w:val="7"/>
  </w:num>
  <w:num w:numId="22" w16cid:durableId="603801312">
    <w:abstractNumId w:val="23"/>
  </w:num>
  <w:num w:numId="23" w16cid:durableId="814418666">
    <w:abstractNumId w:val="11"/>
  </w:num>
  <w:num w:numId="24" w16cid:durableId="604313577">
    <w:abstractNumId w:val="43"/>
    <w:lvlOverride w:ilvl="0">
      <w:startOverride w:val="1"/>
    </w:lvlOverride>
    <w:lvlOverride w:ilvl="1"/>
    <w:lvlOverride w:ilvl="2"/>
    <w:lvlOverride w:ilvl="3"/>
    <w:lvlOverride w:ilvl="4"/>
    <w:lvlOverride w:ilvl="5"/>
    <w:lvlOverride w:ilvl="6"/>
    <w:lvlOverride w:ilvl="7"/>
    <w:lvlOverride w:ilvl="8"/>
  </w:num>
  <w:num w:numId="25" w16cid:durableId="1578321213">
    <w:abstractNumId w:val="6"/>
  </w:num>
  <w:num w:numId="26" w16cid:durableId="8583494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6"/>
  </w:num>
  <w:num w:numId="29" w16cid:durableId="557908918">
    <w:abstractNumId w:val="12"/>
  </w:num>
  <w:num w:numId="30" w16cid:durableId="1104500013">
    <w:abstractNumId w:val="0"/>
  </w:num>
  <w:num w:numId="31" w16cid:durableId="1183205125">
    <w:abstractNumId w:val="24"/>
  </w:num>
  <w:num w:numId="32" w16cid:durableId="1382944040">
    <w:abstractNumId w:val="34"/>
  </w:num>
  <w:num w:numId="33" w16cid:durableId="551313010">
    <w:abstractNumId w:val="19"/>
  </w:num>
  <w:num w:numId="34" w16cid:durableId="134300978">
    <w:abstractNumId w:val="4"/>
  </w:num>
  <w:num w:numId="35" w16cid:durableId="1608925478">
    <w:abstractNumId w:val="42"/>
  </w:num>
  <w:num w:numId="36" w16cid:durableId="871455628">
    <w:abstractNumId w:val="25"/>
  </w:num>
  <w:num w:numId="37" w16cid:durableId="1705524533">
    <w:abstractNumId w:val="29"/>
  </w:num>
  <w:num w:numId="38" w16cid:durableId="8415684">
    <w:abstractNumId w:val="18"/>
  </w:num>
  <w:num w:numId="39" w16cid:durableId="1243366779">
    <w:abstractNumId w:val="17"/>
  </w:num>
  <w:num w:numId="40" w16cid:durableId="1253010371">
    <w:abstractNumId w:val="37"/>
  </w:num>
  <w:num w:numId="41" w16cid:durableId="395128511">
    <w:abstractNumId w:val="39"/>
  </w:num>
  <w:num w:numId="42" w16cid:durableId="2031373524">
    <w:abstractNumId w:val="28"/>
  </w:num>
  <w:num w:numId="43" w16cid:durableId="283267052">
    <w:abstractNumId w:val="21"/>
  </w:num>
  <w:num w:numId="44" w16cid:durableId="1099175400">
    <w:abstractNumId w:val="45"/>
  </w:num>
  <w:num w:numId="45" w16cid:durableId="978536433">
    <w:abstractNumId w:val="41"/>
  </w:num>
  <w:num w:numId="46" w16cid:durableId="1734544081">
    <w:abstractNumId w:val="30"/>
  </w:num>
  <w:num w:numId="47" w16cid:durableId="7417918">
    <w:abstractNumId w:val="32"/>
  </w:num>
  <w:num w:numId="48" w16cid:durableId="1019433312">
    <w:abstractNumId w:val="13"/>
  </w:num>
  <w:num w:numId="49" w16cid:durableId="1895659771">
    <w:abstractNumId w:val="2"/>
  </w:num>
  <w:num w:numId="50" w16cid:durableId="1088379719">
    <w:abstractNumId w:val="5"/>
  </w:num>
  <w:num w:numId="51" w16cid:durableId="14818002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20DA9"/>
    <w:rsid w:val="000502BE"/>
    <w:rsid w:val="00052A10"/>
    <w:rsid w:val="000600BF"/>
    <w:rsid w:val="00074A2E"/>
    <w:rsid w:val="00076DD7"/>
    <w:rsid w:val="000A4281"/>
    <w:rsid w:val="000A7A46"/>
    <w:rsid w:val="000B561D"/>
    <w:rsid w:val="000B57F6"/>
    <w:rsid w:val="000D53D8"/>
    <w:rsid w:val="000D7E36"/>
    <w:rsid w:val="000E4E2C"/>
    <w:rsid w:val="000F2E51"/>
    <w:rsid w:val="000F5D1B"/>
    <w:rsid w:val="00100F2D"/>
    <w:rsid w:val="0010313F"/>
    <w:rsid w:val="00105159"/>
    <w:rsid w:val="001227B1"/>
    <w:rsid w:val="0014647A"/>
    <w:rsid w:val="0015191F"/>
    <w:rsid w:val="00151D68"/>
    <w:rsid w:val="00156027"/>
    <w:rsid w:val="001665A8"/>
    <w:rsid w:val="00171937"/>
    <w:rsid w:val="001735A6"/>
    <w:rsid w:val="00177BE5"/>
    <w:rsid w:val="001839DC"/>
    <w:rsid w:val="00194A73"/>
    <w:rsid w:val="001A3D6A"/>
    <w:rsid w:val="001C1981"/>
    <w:rsid w:val="001E1DCF"/>
    <w:rsid w:val="001E3C1F"/>
    <w:rsid w:val="001F077D"/>
    <w:rsid w:val="002032B6"/>
    <w:rsid w:val="002165D3"/>
    <w:rsid w:val="00216FB6"/>
    <w:rsid w:val="002226E1"/>
    <w:rsid w:val="00247E5D"/>
    <w:rsid w:val="00261B8B"/>
    <w:rsid w:val="002726B5"/>
    <w:rsid w:val="00275BE0"/>
    <w:rsid w:val="0029590F"/>
    <w:rsid w:val="002B5972"/>
    <w:rsid w:val="002B6CBF"/>
    <w:rsid w:val="002C0CF7"/>
    <w:rsid w:val="002D0A1A"/>
    <w:rsid w:val="002E64C7"/>
    <w:rsid w:val="002F5691"/>
    <w:rsid w:val="002F7029"/>
    <w:rsid w:val="00300FD5"/>
    <w:rsid w:val="00322681"/>
    <w:rsid w:val="003342BD"/>
    <w:rsid w:val="00351AB5"/>
    <w:rsid w:val="00354A0C"/>
    <w:rsid w:val="00365D17"/>
    <w:rsid w:val="00366BDB"/>
    <w:rsid w:val="003706CB"/>
    <w:rsid w:val="00371507"/>
    <w:rsid w:val="00376D6D"/>
    <w:rsid w:val="003841BE"/>
    <w:rsid w:val="00384F9B"/>
    <w:rsid w:val="003879C4"/>
    <w:rsid w:val="00394B45"/>
    <w:rsid w:val="003A0683"/>
    <w:rsid w:val="003A5787"/>
    <w:rsid w:val="003B2D0A"/>
    <w:rsid w:val="003D79DC"/>
    <w:rsid w:val="003E375B"/>
    <w:rsid w:val="003F5277"/>
    <w:rsid w:val="0040794C"/>
    <w:rsid w:val="00407DDE"/>
    <w:rsid w:val="00415875"/>
    <w:rsid w:val="00417439"/>
    <w:rsid w:val="0043231E"/>
    <w:rsid w:val="0044257A"/>
    <w:rsid w:val="00442C58"/>
    <w:rsid w:val="00444702"/>
    <w:rsid w:val="00450302"/>
    <w:rsid w:val="00457462"/>
    <w:rsid w:val="00471EEC"/>
    <w:rsid w:val="0047595A"/>
    <w:rsid w:val="00487486"/>
    <w:rsid w:val="004C2844"/>
    <w:rsid w:val="004D056D"/>
    <w:rsid w:val="004D0871"/>
    <w:rsid w:val="004D5952"/>
    <w:rsid w:val="004E2DEF"/>
    <w:rsid w:val="004F0255"/>
    <w:rsid w:val="004F4FA5"/>
    <w:rsid w:val="00505CFA"/>
    <w:rsid w:val="00516949"/>
    <w:rsid w:val="00523D21"/>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C1313"/>
    <w:rsid w:val="006C1D26"/>
    <w:rsid w:val="006D609E"/>
    <w:rsid w:val="006E27CB"/>
    <w:rsid w:val="006E5F08"/>
    <w:rsid w:val="006F23B4"/>
    <w:rsid w:val="006F54D2"/>
    <w:rsid w:val="007007C0"/>
    <w:rsid w:val="007111FE"/>
    <w:rsid w:val="007400DA"/>
    <w:rsid w:val="007525D0"/>
    <w:rsid w:val="00782E1A"/>
    <w:rsid w:val="00786A6B"/>
    <w:rsid w:val="007A3410"/>
    <w:rsid w:val="007B11EF"/>
    <w:rsid w:val="007B2057"/>
    <w:rsid w:val="007B6E99"/>
    <w:rsid w:val="007C3503"/>
    <w:rsid w:val="007C3FDF"/>
    <w:rsid w:val="007C7A5D"/>
    <w:rsid w:val="007D21E7"/>
    <w:rsid w:val="007D394B"/>
    <w:rsid w:val="007D3F36"/>
    <w:rsid w:val="007D6FB5"/>
    <w:rsid w:val="007F68DE"/>
    <w:rsid w:val="007F74BC"/>
    <w:rsid w:val="0081032E"/>
    <w:rsid w:val="00812B6B"/>
    <w:rsid w:val="00821D50"/>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7F7"/>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9F5934"/>
    <w:rsid w:val="00A20E0C"/>
    <w:rsid w:val="00A24A44"/>
    <w:rsid w:val="00A357A3"/>
    <w:rsid w:val="00A35DE3"/>
    <w:rsid w:val="00A523E3"/>
    <w:rsid w:val="00A622CA"/>
    <w:rsid w:val="00A7310D"/>
    <w:rsid w:val="00AA0921"/>
    <w:rsid w:val="00AA0C7F"/>
    <w:rsid w:val="00AA70F1"/>
    <w:rsid w:val="00AB4641"/>
    <w:rsid w:val="00AC484E"/>
    <w:rsid w:val="00AC5BFA"/>
    <w:rsid w:val="00AD78B5"/>
    <w:rsid w:val="00AE6705"/>
    <w:rsid w:val="00AE7196"/>
    <w:rsid w:val="00AF62F7"/>
    <w:rsid w:val="00AF6706"/>
    <w:rsid w:val="00B0684E"/>
    <w:rsid w:val="00B120DC"/>
    <w:rsid w:val="00B13ADF"/>
    <w:rsid w:val="00B234C2"/>
    <w:rsid w:val="00B30814"/>
    <w:rsid w:val="00B652A4"/>
    <w:rsid w:val="00BA1152"/>
    <w:rsid w:val="00BA5F4B"/>
    <w:rsid w:val="00BD707B"/>
    <w:rsid w:val="00BF2389"/>
    <w:rsid w:val="00BF3B0B"/>
    <w:rsid w:val="00C00B67"/>
    <w:rsid w:val="00C21604"/>
    <w:rsid w:val="00C24F8D"/>
    <w:rsid w:val="00C568E4"/>
    <w:rsid w:val="00C652CE"/>
    <w:rsid w:val="00C77AA6"/>
    <w:rsid w:val="00C8640C"/>
    <w:rsid w:val="00C974EA"/>
    <w:rsid w:val="00CA70E2"/>
    <w:rsid w:val="00CB028E"/>
    <w:rsid w:val="00CB1504"/>
    <w:rsid w:val="00CB43F5"/>
    <w:rsid w:val="00CB7454"/>
    <w:rsid w:val="00CD7B2C"/>
    <w:rsid w:val="00CE18EA"/>
    <w:rsid w:val="00CF1341"/>
    <w:rsid w:val="00CF56C9"/>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34C1D"/>
    <w:rsid w:val="00E44764"/>
    <w:rsid w:val="00E50FCF"/>
    <w:rsid w:val="00E71CF7"/>
    <w:rsid w:val="00E7205C"/>
    <w:rsid w:val="00E83CA0"/>
    <w:rsid w:val="00E87394"/>
    <w:rsid w:val="00E96066"/>
    <w:rsid w:val="00E966B1"/>
    <w:rsid w:val="00EA2509"/>
    <w:rsid w:val="00ED6DAE"/>
    <w:rsid w:val="00EF6C2F"/>
    <w:rsid w:val="00F04E48"/>
    <w:rsid w:val="00F0739E"/>
    <w:rsid w:val="00F10EC2"/>
    <w:rsid w:val="00F13EA8"/>
    <w:rsid w:val="00F23ECE"/>
    <w:rsid w:val="00F30724"/>
    <w:rsid w:val="00F36157"/>
    <w:rsid w:val="00F450B1"/>
    <w:rsid w:val="00F47DFD"/>
    <w:rsid w:val="00F57CDE"/>
    <w:rsid w:val="00F6341B"/>
    <w:rsid w:val="00F72FAD"/>
    <w:rsid w:val="00F73353"/>
    <w:rsid w:val="00F76627"/>
    <w:rsid w:val="00F76E56"/>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 w:type="character" w:styleId="Hipercze">
    <w:name w:val="Hyperlink"/>
    <w:basedOn w:val="Domylnaczcionkaakapitu"/>
    <w:uiPriority w:val="99"/>
    <w:unhideWhenUsed/>
    <w:rsid w:val="003F52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a.laskus@tuwpzu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12</Pages>
  <Words>5291</Words>
  <Characters>31750</Characters>
  <Application>Microsoft Office Word</Application>
  <DocSecurity>0</DocSecurity>
  <Lines>264</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Sagan Michał</cp:lastModifiedBy>
  <cp:revision>8</cp:revision>
  <cp:lastPrinted>2017-05-24T12:50:00Z</cp:lastPrinted>
  <dcterms:created xsi:type="dcterms:W3CDTF">2024-10-15T10:19:00Z</dcterms:created>
  <dcterms:modified xsi:type="dcterms:W3CDTF">2025-03-17T10:59:00Z</dcterms:modified>
</cp:coreProperties>
</file>